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www.draw-your-game.com/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Die Website Draw Your Game ermöglicht es Nutzern, ihre eigenen interaktiven Spiele durch Zeichnen von Bildern und Erstellen von Geschichten zu entwickeln.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twinery.org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highlight w:val="none"/>
        </w:rPr>
      </w:pPr>
      <w:r>
        <w:t xml:space="preserve">Twi</w:t>
      </w:r>
      <w:r>
        <w:t xml:space="preserve">ne ist ein Open-Source-Tool, mit dem interaktive, nichtlineare Geschichten erstellt werden können. Es erfordert keine Programmierkenntnisse für einfache Geschichten, bietet jedoch die Möglichkeit, mit Variablen, bedingter Logik, Bildern, CSS und JavaScript</w:t>
      </w:r>
      <w:r>
        <w:t xml:space="preserve"> komplexere Projekte zu realisieren. Twine exportiert direkt in HTML, sodass erstellte Werke nahezu überall veröffentlicht werden können. Twine ist dabei vollkommen kostenlos.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www.inklestudios.com/inklewriter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Inklewriter ist ein intuitives, kostenloses Tool, das es jedem ermöglicht, interaktive Geschichten zu schreiben und zu veröffentlichen. </w:t>
      </w:r>
      <w:r>
        <w:rPr>
          <w:highlight w:val="none"/>
        </w:rPr>
        <w:t xml:space="preserve">Inklewriter unterstützt Schüler*innen dabei, Entscheidungsbäume zu erstellen und kreative Schreibfähigkeiten zu entwickeln. </w:t>
      </w:r>
      <w:r>
        <w:rPr>
          <w:highlight w:val="none"/>
        </w:rPr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www.audacityteam.org</w:t>
      </w:r>
      <w:r>
        <w:rPr>
          <w:b/>
          <w:bCs/>
          <w:sz w:val="28"/>
          <w:szCs w:val="28"/>
          <w:highlight w:val="none"/>
        </w:rPr>
        <w:br/>
      </w:r>
      <w:r>
        <w:rPr>
          <w:highlight w:val="none"/>
        </w:rPr>
        <w:t xml:space="preserve">AudacityAudacity ist ein kostenloses Open-Source-Audio-Bearbeitungsprogramm, das auf Windows, macOS und Linux verfügbar ist. Kein Internetzugang erforderlich, da es lokal installiert wird.</w:t>
      </w:r>
      <w:r/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</w:r>
      <w:r/>
    </w:p>
    <w:p>
      <w:pPr>
        <w:pBdr/>
        <w:spacing/>
        <w:ind/>
        <w:rPr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GarageBand (</w:t>
      </w:r>
      <w:r>
        <w:rPr>
          <w:b/>
          <w:bCs/>
          <w:sz w:val="28"/>
          <w:szCs w:val="28"/>
          <w:highlight w:val="none"/>
        </w:rPr>
        <w:t xml:space="preserve">apps.apple.com/at/app/garageband/id408709785</w:t>
      </w:r>
      <w:r>
        <w:rPr>
          <w:b/>
          <w:bCs/>
          <w:sz w:val="28"/>
          <w:szCs w:val="28"/>
          <w:highlight w:val="none"/>
        </w:rPr>
        <w:t xml:space="preserve">)</w:t>
        <w:br/>
      </w:r>
      <w:r>
        <w:rPr>
          <w:highlight w:val="none"/>
        </w:rPr>
        <w:t xml:space="preserve">Eine kostenlose App nur für Apple-Geräte, die sich hervorragend für die Aufnahme und Bearbeitung von Podcasts eignet.</w:t>
      </w:r>
      <w:r/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Francesca Weixelbraun (a1304260)</cp:lastModifiedBy>
  <cp:revision>4</cp:revision>
  <dcterms:modified xsi:type="dcterms:W3CDTF">2025-01-13T18:03:09Z</dcterms:modified>
</cp:coreProperties>
</file>